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51E4" w14:textId="77777777" w:rsidR="00A6756A" w:rsidRDefault="00A6756A">
      <w:bookmarkStart w:id="0" w:name="_gjdgxs" w:colFirst="0" w:colLast="0"/>
      <w:bookmarkEnd w:id="0"/>
    </w:p>
    <w:p w14:paraId="0EE6C6F4" w14:textId="1D0AD13D" w:rsidR="00A6756A" w:rsidRPr="00120C37" w:rsidRDefault="00C73275" w:rsidP="00120C37">
      <w:pPr>
        <w:jc w:val="center"/>
        <w:rPr>
          <w:rFonts w:asciiTheme="majorHAnsi" w:hAnsiTheme="majorHAnsi" w:cstheme="majorHAnsi"/>
          <w:b/>
          <w:bCs/>
          <w:color w:val="0070C0"/>
          <w:sz w:val="28"/>
          <w:szCs w:val="28"/>
        </w:rPr>
      </w:pPr>
      <w:r w:rsidRPr="00120C37">
        <w:rPr>
          <w:rFonts w:asciiTheme="majorHAnsi" w:hAnsiTheme="majorHAnsi" w:cstheme="majorHAnsi"/>
          <w:b/>
          <w:bCs/>
          <w:color w:val="0070C0"/>
          <w:sz w:val="28"/>
          <w:szCs w:val="28"/>
        </w:rPr>
        <w:t>REGOLAMENTO ACCESSO CIVICO</w:t>
      </w:r>
    </w:p>
    <w:p w14:paraId="323D0568" w14:textId="77777777" w:rsidR="00A6756A" w:rsidRPr="00515DBE" w:rsidRDefault="00EA3AED" w:rsidP="00324610">
      <w:pPr>
        <w:spacing w:after="0" w:line="240" w:lineRule="auto"/>
        <w:ind w:left="284" w:right="-1" w:firstLine="425"/>
        <w:jc w:val="both"/>
        <w:rPr>
          <w:rFonts w:asciiTheme="majorHAnsi" w:hAnsiTheme="majorHAnsi" w:cstheme="majorHAnsi"/>
        </w:rPr>
      </w:pPr>
      <w:bookmarkStart w:id="1" w:name="_30j0zll" w:colFirst="0" w:colLast="0"/>
      <w:bookmarkEnd w:id="1"/>
      <w:r w:rsidRPr="00515DBE">
        <w:rPr>
          <w:rFonts w:asciiTheme="majorHAnsi" w:hAnsiTheme="majorHAnsi" w:cstheme="majorHAnsi"/>
        </w:rPr>
        <w:t>Ai fini del presente regolamento si intende per:</w:t>
      </w:r>
    </w:p>
    <w:p w14:paraId="6A052977" w14:textId="0942FADA" w:rsidR="00A6756A" w:rsidRPr="00515DBE" w:rsidRDefault="00EA3AED" w:rsidP="00324610">
      <w:pPr>
        <w:pStyle w:val="Paragrafoelenco"/>
        <w:numPr>
          <w:ilvl w:val="0"/>
          <w:numId w:val="8"/>
        </w:numPr>
        <w:pBdr>
          <w:top w:val="nil"/>
          <w:left w:val="nil"/>
          <w:bottom w:val="nil"/>
          <w:right w:val="nil"/>
          <w:between w:val="nil"/>
        </w:pBdr>
        <w:spacing w:after="0" w:line="240" w:lineRule="auto"/>
        <w:ind w:left="284" w:right="-1" w:firstLine="0"/>
        <w:jc w:val="both"/>
        <w:rPr>
          <w:rFonts w:asciiTheme="majorHAnsi" w:hAnsiTheme="majorHAnsi" w:cstheme="majorHAnsi"/>
          <w:color w:val="000000"/>
        </w:rPr>
      </w:pPr>
      <w:r w:rsidRPr="00515DBE">
        <w:rPr>
          <w:rFonts w:asciiTheme="majorHAnsi" w:hAnsiTheme="majorHAnsi" w:cstheme="majorHAnsi"/>
          <w:color w:val="000000"/>
        </w:rPr>
        <w:t>“decreto trasparenza” il D.Lgs. 33/2013 così come modificato dal D.Lgs. 97/2016;</w:t>
      </w:r>
    </w:p>
    <w:p w14:paraId="6314AD65" w14:textId="7DA3E2BE" w:rsidR="00A6756A" w:rsidRPr="00515DBE" w:rsidRDefault="00EA3AED" w:rsidP="00324610">
      <w:pPr>
        <w:pStyle w:val="Paragrafoelenco"/>
        <w:numPr>
          <w:ilvl w:val="0"/>
          <w:numId w:val="8"/>
        </w:numPr>
        <w:pBdr>
          <w:top w:val="nil"/>
          <w:left w:val="nil"/>
          <w:bottom w:val="nil"/>
          <w:right w:val="nil"/>
          <w:between w:val="nil"/>
        </w:pBdr>
        <w:spacing w:after="0" w:line="240" w:lineRule="auto"/>
        <w:ind w:left="709" w:right="-1" w:hanging="425"/>
        <w:jc w:val="both"/>
        <w:rPr>
          <w:rFonts w:asciiTheme="majorHAnsi" w:hAnsiTheme="majorHAnsi" w:cstheme="majorHAnsi"/>
          <w:color w:val="000000"/>
        </w:rPr>
      </w:pPr>
      <w:r w:rsidRPr="00515DBE">
        <w:rPr>
          <w:rFonts w:asciiTheme="majorHAnsi" w:hAnsiTheme="majorHAnsi" w:cstheme="majorHAnsi"/>
          <w:color w:val="000000"/>
        </w:rPr>
        <w:t xml:space="preserve">“accesso civico” (o accesso civico “semplice”) l’accesso ai documenti oggetto degli obblighi </w:t>
      </w:r>
      <w:r w:rsidR="00324610" w:rsidRPr="00515DBE">
        <w:rPr>
          <w:rFonts w:asciiTheme="majorHAnsi" w:hAnsiTheme="majorHAnsi" w:cstheme="majorHAnsi"/>
          <w:color w:val="000000"/>
        </w:rPr>
        <w:t xml:space="preserve">  </w:t>
      </w:r>
      <w:r w:rsidRPr="00515DBE">
        <w:rPr>
          <w:rFonts w:asciiTheme="majorHAnsi" w:hAnsiTheme="majorHAnsi" w:cstheme="majorHAnsi"/>
          <w:color w:val="000000"/>
        </w:rPr>
        <w:t>di pubblicazione, previsto dall’art. 5, c. 1, del decreto trasparenza;</w:t>
      </w:r>
    </w:p>
    <w:p w14:paraId="2B4CDC80" w14:textId="7405B3A3" w:rsidR="00A6756A" w:rsidRPr="00515DBE" w:rsidRDefault="00EA3AED" w:rsidP="00324610">
      <w:pPr>
        <w:pStyle w:val="Paragrafoelenco"/>
        <w:numPr>
          <w:ilvl w:val="0"/>
          <w:numId w:val="8"/>
        </w:numPr>
        <w:pBdr>
          <w:top w:val="nil"/>
          <w:left w:val="nil"/>
          <w:bottom w:val="nil"/>
          <w:right w:val="nil"/>
          <w:between w:val="nil"/>
        </w:pBdr>
        <w:spacing w:after="0" w:line="240" w:lineRule="auto"/>
        <w:ind w:left="284" w:right="-1" w:firstLine="0"/>
        <w:jc w:val="both"/>
        <w:rPr>
          <w:rFonts w:asciiTheme="majorHAnsi" w:hAnsiTheme="majorHAnsi" w:cstheme="majorHAnsi"/>
          <w:color w:val="000000"/>
        </w:rPr>
      </w:pPr>
      <w:r w:rsidRPr="00515DBE">
        <w:rPr>
          <w:rFonts w:asciiTheme="majorHAnsi" w:hAnsiTheme="majorHAnsi" w:cstheme="majorHAnsi"/>
          <w:color w:val="000000"/>
        </w:rPr>
        <w:t>“accesso generalizzato” l’accesso previsto dall’art. 5, c. 2, del decreto trasparenza.</w:t>
      </w:r>
    </w:p>
    <w:p w14:paraId="3EB3E80D" w14:textId="77777777" w:rsidR="00A6756A" w:rsidRPr="00515DBE" w:rsidRDefault="00A6756A" w:rsidP="00AB413A">
      <w:pPr>
        <w:spacing w:after="0" w:line="240" w:lineRule="auto"/>
        <w:ind w:left="1134" w:hanging="425"/>
        <w:jc w:val="both"/>
        <w:rPr>
          <w:rFonts w:asciiTheme="majorHAnsi" w:hAnsiTheme="majorHAnsi" w:cstheme="majorHAnsi"/>
        </w:rPr>
      </w:pPr>
    </w:p>
    <w:p w14:paraId="16DA147D" w14:textId="750CC226" w:rsidR="00A6756A" w:rsidRPr="00120C37" w:rsidRDefault="00EA3AED">
      <w:pPr>
        <w:pStyle w:val="Titolo1"/>
        <w:rPr>
          <w:rFonts w:asciiTheme="majorHAnsi" w:hAnsiTheme="majorHAnsi" w:cstheme="majorHAnsi"/>
          <w:color w:val="31849B" w:themeColor="accent5" w:themeShade="BF"/>
          <w:sz w:val="22"/>
          <w:szCs w:val="22"/>
        </w:rPr>
      </w:pPr>
      <w:bookmarkStart w:id="2" w:name="_1fob9te" w:colFirst="0" w:colLast="0"/>
      <w:bookmarkEnd w:id="2"/>
      <w:r w:rsidRPr="00120C37">
        <w:rPr>
          <w:rFonts w:asciiTheme="majorHAnsi" w:hAnsiTheme="majorHAnsi" w:cstheme="majorHAnsi"/>
          <w:color w:val="31849B" w:themeColor="accent5" w:themeShade="BF"/>
          <w:sz w:val="22"/>
          <w:szCs w:val="22"/>
        </w:rPr>
        <w:t xml:space="preserve">Art. </w:t>
      </w:r>
      <w:r w:rsidR="00AB413A" w:rsidRPr="00120C37">
        <w:rPr>
          <w:rFonts w:asciiTheme="majorHAnsi" w:hAnsiTheme="majorHAnsi" w:cstheme="majorHAnsi"/>
          <w:color w:val="31849B" w:themeColor="accent5" w:themeShade="BF"/>
          <w:sz w:val="22"/>
          <w:szCs w:val="22"/>
        </w:rPr>
        <w:t>1</w:t>
      </w:r>
      <w:r w:rsidRPr="00120C37">
        <w:rPr>
          <w:rFonts w:asciiTheme="majorHAnsi" w:hAnsiTheme="majorHAnsi" w:cstheme="majorHAnsi"/>
          <w:color w:val="31849B" w:themeColor="accent5" w:themeShade="BF"/>
          <w:sz w:val="22"/>
          <w:szCs w:val="22"/>
        </w:rPr>
        <w:t xml:space="preserve"> – Oggetto</w:t>
      </w:r>
    </w:p>
    <w:p w14:paraId="4750CA1D"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Il presente regolamento disciplina i criteri e le modalità organizzative per l’effettivo esercizio dei seguenti diritti:</w:t>
      </w:r>
    </w:p>
    <w:p w14:paraId="3A8C6CFB" w14:textId="77777777" w:rsidR="000F2458" w:rsidRPr="00515DBE" w:rsidRDefault="00EA3AED">
      <w:pPr>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sidRPr="00515DBE">
        <w:rPr>
          <w:rFonts w:asciiTheme="majorHAnsi" w:hAnsiTheme="majorHAnsi" w:cstheme="majorHAnsi"/>
          <w:color w:val="000000"/>
        </w:rPr>
        <w:t>l’</w:t>
      </w:r>
      <w:r w:rsidRPr="00120C37">
        <w:rPr>
          <w:rFonts w:asciiTheme="majorHAnsi" w:hAnsiTheme="majorHAnsi" w:cstheme="majorHAnsi"/>
          <w:color w:val="31849B" w:themeColor="accent5" w:themeShade="BF"/>
        </w:rPr>
        <w:t>accesso civico</w:t>
      </w:r>
      <w:r w:rsidR="000F2458" w:rsidRPr="00120C37">
        <w:rPr>
          <w:rFonts w:asciiTheme="majorHAnsi" w:hAnsiTheme="majorHAnsi" w:cstheme="majorHAnsi"/>
          <w:color w:val="31849B" w:themeColor="accent5" w:themeShade="BF"/>
        </w:rPr>
        <w:t xml:space="preserve"> semplice</w:t>
      </w:r>
      <w:r w:rsidR="000F2458" w:rsidRPr="00515DBE">
        <w:rPr>
          <w:rFonts w:asciiTheme="majorHAnsi" w:hAnsiTheme="majorHAnsi" w:cstheme="majorHAnsi"/>
          <w:color w:val="000000"/>
        </w:rPr>
        <w:t>.</w:t>
      </w:r>
    </w:p>
    <w:p w14:paraId="6BED2D76" w14:textId="77777777" w:rsidR="000F2458" w:rsidRPr="00515DBE" w:rsidRDefault="000F2458" w:rsidP="000F2458">
      <w:pPr>
        <w:pStyle w:val="Paragrafoelenco"/>
        <w:spacing w:after="0" w:line="240" w:lineRule="auto"/>
        <w:jc w:val="both"/>
        <w:rPr>
          <w:rFonts w:asciiTheme="majorHAnsi" w:hAnsiTheme="majorHAnsi" w:cstheme="majorHAnsi"/>
        </w:rPr>
      </w:pPr>
      <w:r w:rsidRPr="00515DBE">
        <w:rPr>
          <w:rFonts w:asciiTheme="majorHAnsi" w:hAnsiTheme="majorHAnsi" w:cstheme="majorHAnsi"/>
        </w:rPr>
        <w:t>Ai sensi dell’art. 5, comma 1 del D.Lgs. 33/2013, l'obbligo previsto dal decreto stesso di pubblicare documenti, informazioni, o dati comporta il diritto di chiunque di richiedere i medesimi, nei casi in cui sia stata omessa la loro pubblicazione.</w:t>
      </w:r>
    </w:p>
    <w:p w14:paraId="0166980D" w14:textId="469B00E9" w:rsidR="00A6756A" w:rsidRPr="00515DBE" w:rsidRDefault="00A6756A" w:rsidP="000F2458">
      <w:pPr>
        <w:pBdr>
          <w:top w:val="nil"/>
          <w:left w:val="nil"/>
          <w:bottom w:val="nil"/>
          <w:right w:val="nil"/>
          <w:between w:val="nil"/>
        </w:pBdr>
        <w:spacing w:after="0" w:line="240" w:lineRule="auto"/>
        <w:jc w:val="both"/>
        <w:rPr>
          <w:rFonts w:asciiTheme="majorHAnsi" w:hAnsiTheme="majorHAnsi" w:cstheme="majorHAnsi"/>
          <w:color w:val="000000"/>
        </w:rPr>
      </w:pPr>
    </w:p>
    <w:p w14:paraId="432BA0C2" w14:textId="77777777" w:rsidR="000F2458" w:rsidRPr="00515DBE" w:rsidRDefault="00EA3AED">
      <w:pPr>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sidRPr="00515DBE">
        <w:rPr>
          <w:rFonts w:asciiTheme="majorHAnsi" w:hAnsiTheme="majorHAnsi" w:cstheme="majorHAnsi"/>
          <w:color w:val="000000"/>
        </w:rPr>
        <w:t>l’</w:t>
      </w:r>
      <w:r w:rsidRPr="00120C37">
        <w:rPr>
          <w:rFonts w:asciiTheme="majorHAnsi" w:hAnsiTheme="majorHAnsi" w:cstheme="majorHAnsi"/>
          <w:color w:val="31849B" w:themeColor="accent5" w:themeShade="BF"/>
        </w:rPr>
        <w:t xml:space="preserve">accesso </w:t>
      </w:r>
      <w:r w:rsidR="000F2458" w:rsidRPr="00120C37">
        <w:rPr>
          <w:rFonts w:asciiTheme="majorHAnsi" w:hAnsiTheme="majorHAnsi" w:cstheme="majorHAnsi"/>
          <w:color w:val="31849B" w:themeColor="accent5" w:themeShade="BF"/>
        </w:rPr>
        <w:t xml:space="preserve">civico </w:t>
      </w:r>
      <w:r w:rsidRPr="00120C37">
        <w:rPr>
          <w:rFonts w:asciiTheme="majorHAnsi" w:hAnsiTheme="majorHAnsi" w:cstheme="majorHAnsi"/>
          <w:color w:val="31849B" w:themeColor="accent5" w:themeShade="BF"/>
        </w:rPr>
        <w:t>generalizzato</w:t>
      </w:r>
      <w:r w:rsidR="000F2458" w:rsidRPr="00515DBE">
        <w:rPr>
          <w:rFonts w:asciiTheme="majorHAnsi" w:hAnsiTheme="majorHAnsi" w:cstheme="majorHAnsi"/>
          <w:color w:val="000000"/>
        </w:rPr>
        <w:t>.</w:t>
      </w:r>
    </w:p>
    <w:p w14:paraId="5104816E" w14:textId="77994EF0" w:rsidR="000F2458" w:rsidRPr="00515DBE" w:rsidRDefault="000F2458" w:rsidP="000F2458">
      <w:pPr>
        <w:spacing w:after="0" w:line="240" w:lineRule="auto"/>
        <w:ind w:left="851"/>
        <w:jc w:val="both"/>
        <w:rPr>
          <w:rFonts w:asciiTheme="majorHAnsi" w:hAnsiTheme="majorHAnsi" w:cstheme="majorHAnsi"/>
        </w:rPr>
      </w:pPr>
      <w:r w:rsidRPr="00515DBE">
        <w:rPr>
          <w:rFonts w:asciiTheme="majorHAnsi" w:hAnsiTheme="majorHAnsi" w:cstheme="majorHAnsi"/>
        </w:rPr>
        <w:t xml:space="preserve">Ai sensi dell’art. 5, comma 2 del </w:t>
      </w:r>
      <w:bookmarkStart w:id="3" w:name="_Hlk105597402"/>
      <w:r w:rsidRPr="00515DBE">
        <w:rPr>
          <w:rFonts w:asciiTheme="majorHAnsi" w:hAnsiTheme="majorHAnsi" w:cstheme="majorHAnsi"/>
        </w:rPr>
        <w:t>D.Lgs. 33/2013</w:t>
      </w:r>
      <w:bookmarkEnd w:id="3"/>
      <w:r w:rsidRPr="00515DBE">
        <w:rPr>
          <w:rFonts w:asciiTheme="majorHAnsi" w:hAnsiTheme="majorHAnsi" w:cstheme="majorHAnsi"/>
        </w:rPr>
        <w:t>, allo scopo di favorire forme diffuse di controllo sul perseguimento delle funzioni istituzionali e sull'utilizzo delle risorse pubbliche e di promuovere la partecipazione al dibattito pubblico, chiunque ha diritto di accedere ai dati e ai documenti detenuti dalla Cooperativa, ulteriori rispetto a quelli oggetto di pubblicazione ai sensi del presente decreto, nel rispetto dei limiti relativi alla tutela di interessi giuridicamente rilevanti secondo quanto previsto dall'articolo 5-bis.</w:t>
      </w:r>
    </w:p>
    <w:p w14:paraId="04515DC9" w14:textId="0348E96E" w:rsidR="00A6756A" w:rsidRPr="00120C37" w:rsidRDefault="00EA3AED">
      <w:pPr>
        <w:pStyle w:val="Titolo1"/>
        <w:rPr>
          <w:rFonts w:asciiTheme="majorHAnsi" w:hAnsiTheme="majorHAnsi" w:cstheme="majorHAnsi"/>
          <w:color w:val="31849B" w:themeColor="accent5" w:themeShade="BF"/>
          <w:sz w:val="22"/>
          <w:szCs w:val="22"/>
        </w:rPr>
      </w:pPr>
      <w:bookmarkStart w:id="4" w:name="_3znysh7" w:colFirst="0" w:colLast="0"/>
      <w:bookmarkStart w:id="5" w:name="_2et92p0" w:colFirst="0" w:colLast="0"/>
      <w:bookmarkEnd w:id="4"/>
      <w:bookmarkEnd w:id="5"/>
      <w:r w:rsidRPr="00120C37">
        <w:rPr>
          <w:rFonts w:asciiTheme="majorHAnsi" w:hAnsiTheme="majorHAnsi" w:cstheme="majorHAnsi"/>
          <w:color w:val="31849B" w:themeColor="accent5" w:themeShade="BF"/>
          <w:sz w:val="22"/>
          <w:szCs w:val="22"/>
        </w:rPr>
        <w:t xml:space="preserve">Art. </w:t>
      </w:r>
      <w:r w:rsidR="000F2458" w:rsidRPr="00120C37">
        <w:rPr>
          <w:rFonts w:asciiTheme="majorHAnsi" w:hAnsiTheme="majorHAnsi" w:cstheme="majorHAnsi"/>
          <w:color w:val="31849B" w:themeColor="accent5" w:themeShade="BF"/>
          <w:sz w:val="22"/>
          <w:szCs w:val="22"/>
        </w:rPr>
        <w:t>2</w:t>
      </w:r>
      <w:r w:rsidRPr="00120C37">
        <w:rPr>
          <w:rFonts w:asciiTheme="majorHAnsi" w:hAnsiTheme="majorHAnsi" w:cstheme="majorHAnsi"/>
          <w:color w:val="31849B" w:themeColor="accent5" w:themeShade="BF"/>
          <w:sz w:val="22"/>
          <w:szCs w:val="22"/>
        </w:rPr>
        <w:t xml:space="preserve"> – </w:t>
      </w:r>
      <w:r w:rsidR="00DC2575" w:rsidRPr="00120C37">
        <w:rPr>
          <w:rFonts w:asciiTheme="majorHAnsi" w:hAnsiTheme="majorHAnsi" w:cstheme="majorHAnsi"/>
          <w:color w:val="31849B" w:themeColor="accent5" w:themeShade="BF"/>
          <w:sz w:val="22"/>
          <w:szCs w:val="22"/>
        </w:rPr>
        <w:t>Responsabili del procedimento</w:t>
      </w:r>
    </w:p>
    <w:p w14:paraId="4C34C711" w14:textId="1462C9BF" w:rsidR="00DC2575" w:rsidRPr="00515DBE" w:rsidRDefault="00DC2575" w:rsidP="00DC2575">
      <w:pPr>
        <w:spacing w:after="0" w:line="240" w:lineRule="auto"/>
        <w:jc w:val="both"/>
        <w:rPr>
          <w:rFonts w:asciiTheme="majorHAnsi" w:hAnsiTheme="majorHAnsi" w:cstheme="majorHAnsi"/>
        </w:rPr>
      </w:pPr>
      <w:r w:rsidRPr="00515DBE">
        <w:rPr>
          <w:rFonts w:asciiTheme="majorHAnsi" w:hAnsiTheme="majorHAnsi" w:cstheme="majorHAnsi"/>
        </w:rPr>
        <w:t>La Cooperativa garantisce il tempestivo e regolare flusso delle informazioni da pubblicare.</w:t>
      </w:r>
    </w:p>
    <w:p w14:paraId="2CE26AAC" w14:textId="77D4343F" w:rsidR="00DC2575" w:rsidRPr="00515DBE" w:rsidRDefault="00DC2575" w:rsidP="00DC2575">
      <w:pPr>
        <w:spacing w:after="0" w:line="240" w:lineRule="auto"/>
        <w:jc w:val="both"/>
        <w:rPr>
          <w:rFonts w:asciiTheme="majorHAnsi" w:hAnsiTheme="majorHAnsi" w:cstheme="majorHAnsi"/>
        </w:rPr>
      </w:pPr>
      <w:r w:rsidRPr="00515DBE">
        <w:rPr>
          <w:rFonts w:asciiTheme="majorHAnsi" w:hAnsiTheme="majorHAnsi" w:cstheme="majorHAnsi"/>
        </w:rPr>
        <w:t xml:space="preserve">Il Responsabile della </w:t>
      </w:r>
      <w:r w:rsidR="00A15462" w:rsidRPr="00515DBE">
        <w:rPr>
          <w:rFonts w:asciiTheme="majorHAnsi" w:hAnsiTheme="majorHAnsi" w:cstheme="majorHAnsi"/>
        </w:rPr>
        <w:t>T</w:t>
      </w:r>
      <w:r w:rsidRPr="00515DBE">
        <w:rPr>
          <w:rFonts w:asciiTheme="majorHAnsi" w:hAnsiTheme="majorHAnsi" w:cstheme="majorHAnsi"/>
        </w:rPr>
        <w:t>rasparenza della Cooperativa è la dott.ssa Patrizia Mascia, cui poter presentare la richiesta di accesso</w:t>
      </w:r>
      <w:r w:rsidR="00A15462" w:rsidRPr="00515DBE">
        <w:rPr>
          <w:rFonts w:asciiTheme="majorHAnsi" w:hAnsiTheme="majorHAnsi" w:cstheme="majorHAnsi"/>
        </w:rPr>
        <w:t xml:space="preserve"> civico.</w:t>
      </w:r>
    </w:p>
    <w:p w14:paraId="4D4E219F" w14:textId="7152E1EB" w:rsidR="00A15462" w:rsidRPr="00120C37" w:rsidRDefault="00A15462" w:rsidP="00A15462">
      <w:pPr>
        <w:pStyle w:val="Titolo1"/>
        <w:rPr>
          <w:rFonts w:asciiTheme="majorHAnsi" w:hAnsiTheme="majorHAnsi" w:cstheme="majorHAnsi"/>
          <w:color w:val="31849B" w:themeColor="accent5" w:themeShade="BF"/>
          <w:sz w:val="22"/>
          <w:szCs w:val="22"/>
        </w:rPr>
      </w:pPr>
      <w:r w:rsidRPr="00120C37">
        <w:rPr>
          <w:rFonts w:asciiTheme="majorHAnsi" w:hAnsiTheme="majorHAnsi" w:cstheme="majorHAnsi"/>
          <w:color w:val="31849B" w:themeColor="accent5" w:themeShade="BF"/>
          <w:sz w:val="22"/>
          <w:szCs w:val="22"/>
        </w:rPr>
        <w:t xml:space="preserve">Art. 3 – Istanza di accesso </w:t>
      </w:r>
    </w:p>
    <w:p w14:paraId="6FBA9A7C" w14:textId="0551D4B7" w:rsidR="00C350AB" w:rsidRPr="00515DBE" w:rsidRDefault="00A15462" w:rsidP="00C350AB">
      <w:pPr>
        <w:spacing w:after="0" w:line="240" w:lineRule="auto"/>
        <w:jc w:val="both"/>
        <w:rPr>
          <w:rFonts w:asciiTheme="majorHAnsi" w:hAnsiTheme="majorHAnsi" w:cstheme="majorHAnsi"/>
        </w:rPr>
      </w:pPr>
      <w:r w:rsidRPr="00515DBE">
        <w:rPr>
          <w:rFonts w:asciiTheme="majorHAnsi" w:hAnsiTheme="majorHAnsi" w:cstheme="majorHAnsi"/>
        </w:rPr>
        <w:t>L’istanza può essere trasmessa a mezzo posta ordinaria o elettronica ai seguenti indirizzi:</w:t>
      </w:r>
    </w:p>
    <w:p w14:paraId="63D17BBE" w14:textId="768504C8" w:rsidR="00A15462" w:rsidRPr="00515DBE" w:rsidRDefault="00A15462" w:rsidP="00A15462">
      <w:pPr>
        <w:spacing w:after="0" w:line="240" w:lineRule="auto"/>
        <w:jc w:val="both"/>
        <w:rPr>
          <w:rFonts w:asciiTheme="majorHAnsi" w:hAnsiTheme="majorHAnsi" w:cstheme="majorHAnsi"/>
        </w:rPr>
      </w:pPr>
    </w:p>
    <w:p w14:paraId="681567E9" w14:textId="3186C0DB" w:rsidR="00A15462" w:rsidRPr="00515DBE" w:rsidRDefault="0013265A" w:rsidP="00A15462">
      <w:pPr>
        <w:pStyle w:val="Paragrafoelenco"/>
        <w:numPr>
          <w:ilvl w:val="0"/>
          <w:numId w:val="9"/>
        </w:numPr>
        <w:spacing w:after="0" w:line="240" w:lineRule="auto"/>
        <w:jc w:val="both"/>
        <w:rPr>
          <w:rFonts w:asciiTheme="majorHAnsi" w:hAnsiTheme="majorHAnsi" w:cstheme="majorHAnsi"/>
        </w:rPr>
      </w:pPr>
      <w:hyperlink r:id="rId7" w:history="1">
        <w:r w:rsidR="00A15462" w:rsidRPr="00515DBE">
          <w:rPr>
            <w:rStyle w:val="Collegamentoipertestuale"/>
            <w:rFonts w:asciiTheme="majorHAnsi" w:hAnsiTheme="majorHAnsi" w:cstheme="majorHAnsi"/>
          </w:rPr>
          <w:t>direzione@domusservizisanitari.it</w:t>
        </w:r>
      </w:hyperlink>
    </w:p>
    <w:p w14:paraId="785F49A5" w14:textId="7B96A34F" w:rsidR="00A15462" w:rsidRPr="00515DBE" w:rsidRDefault="0013265A" w:rsidP="00A15462">
      <w:pPr>
        <w:pStyle w:val="Paragrafoelenco"/>
        <w:numPr>
          <w:ilvl w:val="0"/>
          <w:numId w:val="9"/>
        </w:numPr>
        <w:spacing w:after="0" w:line="240" w:lineRule="auto"/>
        <w:jc w:val="both"/>
        <w:rPr>
          <w:rFonts w:asciiTheme="majorHAnsi" w:hAnsiTheme="majorHAnsi" w:cstheme="majorHAnsi"/>
        </w:rPr>
      </w:pPr>
      <w:hyperlink r:id="rId8" w:history="1">
        <w:r w:rsidR="00A15462" w:rsidRPr="00515DBE">
          <w:rPr>
            <w:rStyle w:val="Collegamentoipertestuale"/>
            <w:rFonts w:asciiTheme="majorHAnsi" w:hAnsiTheme="majorHAnsi" w:cstheme="majorHAnsi"/>
          </w:rPr>
          <w:t>domuss.s.coopsoc@legalmail.it</w:t>
        </w:r>
      </w:hyperlink>
    </w:p>
    <w:p w14:paraId="6BB9D7B6" w14:textId="5395552E" w:rsidR="00DC2575" w:rsidRPr="00515DBE" w:rsidRDefault="00DC2575" w:rsidP="00DC2575">
      <w:pPr>
        <w:rPr>
          <w:rFonts w:asciiTheme="majorHAnsi" w:hAnsiTheme="majorHAnsi" w:cstheme="majorHAnsi"/>
        </w:rPr>
      </w:pPr>
    </w:p>
    <w:p w14:paraId="78EF59BA" w14:textId="28D23B3C" w:rsidR="00383220" w:rsidRPr="00515DBE" w:rsidRDefault="00EA3AED" w:rsidP="00383220">
      <w:pPr>
        <w:spacing w:after="0" w:line="240" w:lineRule="auto"/>
        <w:jc w:val="both"/>
        <w:rPr>
          <w:rFonts w:asciiTheme="majorHAnsi" w:hAnsiTheme="majorHAnsi" w:cstheme="majorHAnsi"/>
        </w:rPr>
      </w:pPr>
      <w:r w:rsidRPr="00515DBE">
        <w:rPr>
          <w:rFonts w:asciiTheme="majorHAnsi" w:hAnsiTheme="majorHAnsi" w:cstheme="majorHAnsi"/>
        </w:rPr>
        <w:t xml:space="preserve">L’esercizio dell’accesso </w:t>
      </w:r>
      <w:r w:rsidR="00FB4D89" w:rsidRPr="00515DBE">
        <w:rPr>
          <w:rFonts w:asciiTheme="majorHAnsi" w:hAnsiTheme="majorHAnsi" w:cstheme="majorHAnsi"/>
        </w:rPr>
        <w:t>semplice</w:t>
      </w:r>
      <w:r w:rsidRPr="00515DBE">
        <w:rPr>
          <w:rFonts w:asciiTheme="majorHAnsi" w:hAnsiTheme="majorHAnsi" w:cstheme="majorHAnsi"/>
        </w:rPr>
        <w:t xml:space="preserve"> e dell’accesso generalizzato non è sottoposto ad alcuna limitazione quanto alla legittimazione soggettiva del richiedente</w:t>
      </w:r>
      <w:r w:rsidR="00A40D94" w:rsidRPr="00515DBE">
        <w:rPr>
          <w:rFonts w:asciiTheme="majorHAnsi" w:hAnsiTheme="majorHAnsi" w:cstheme="majorHAnsi"/>
        </w:rPr>
        <w:t xml:space="preserve"> ai sensi dell’art.5, comma 3 del D.Lgs. 33/2013</w:t>
      </w:r>
      <w:r w:rsidR="00FB4D89" w:rsidRPr="00515DBE">
        <w:rPr>
          <w:rFonts w:asciiTheme="majorHAnsi" w:hAnsiTheme="majorHAnsi" w:cstheme="majorHAnsi"/>
        </w:rPr>
        <w:t>.</w:t>
      </w:r>
      <w:r w:rsidR="00383220" w:rsidRPr="00515DBE">
        <w:rPr>
          <w:rFonts w:asciiTheme="majorHAnsi" w:hAnsiTheme="majorHAnsi" w:cstheme="majorHAnsi"/>
        </w:rPr>
        <w:t xml:space="preserve"> </w:t>
      </w:r>
    </w:p>
    <w:p w14:paraId="724747F7" w14:textId="1EF6B0F5" w:rsidR="00383220" w:rsidRPr="00515DBE" w:rsidRDefault="00383220" w:rsidP="00383220">
      <w:pPr>
        <w:spacing w:after="0" w:line="240" w:lineRule="auto"/>
        <w:jc w:val="both"/>
        <w:rPr>
          <w:rFonts w:asciiTheme="majorHAnsi" w:hAnsiTheme="majorHAnsi" w:cstheme="majorHAnsi"/>
        </w:rPr>
      </w:pPr>
      <w:r w:rsidRPr="00515DBE">
        <w:rPr>
          <w:rFonts w:asciiTheme="majorHAnsi" w:hAnsiTheme="majorHAnsi" w:cstheme="majorHAnsi"/>
        </w:rPr>
        <w:t>Nella richiesta di accesso è necessario indicare:</w:t>
      </w:r>
    </w:p>
    <w:p w14:paraId="15D299F4" w14:textId="5F25EC3B" w:rsidR="00383220" w:rsidRPr="00515DBE" w:rsidRDefault="00383220" w:rsidP="00383220">
      <w:pPr>
        <w:pStyle w:val="Paragrafoelenco"/>
        <w:numPr>
          <w:ilvl w:val="0"/>
          <w:numId w:val="11"/>
        </w:numPr>
        <w:spacing w:after="0" w:line="240" w:lineRule="auto"/>
        <w:jc w:val="both"/>
        <w:rPr>
          <w:rFonts w:asciiTheme="majorHAnsi" w:hAnsiTheme="majorHAnsi" w:cstheme="majorHAnsi"/>
        </w:rPr>
      </w:pPr>
      <w:r w:rsidRPr="00515DBE">
        <w:rPr>
          <w:rFonts w:asciiTheme="majorHAnsi" w:hAnsiTheme="majorHAnsi" w:cstheme="majorHAnsi"/>
        </w:rPr>
        <w:t>I dati del richiedente: cognome, nome, luogo e data di nascita, indirizzo, recapito telefonico;</w:t>
      </w:r>
    </w:p>
    <w:p w14:paraId="3A98BE7D" w14:textId="77777777" w:rsidR="00383220" w:rsidRPr="00515DBE" w:rsidRDefault="00383220" w:rsidP="00383220">
      <w:pPr>
        <w:pStyle w:val="Paragrafoelenco"/>
        <w:numPr>
          <w:ilvl w:val="0"/>
          <w:numId w:val="11"/>
        </w:numPr>
        <w:spacing w:after="0" w:line="240" w:lineRule="auto"/>
        <w:jc w:val="both"/>
        <w:rPr>
          <w:rFonts w:asciiTheme="majorHAnsi" w:hAnsiTheme="majorHAnsi" w:cstheme="majorHAnsi"/>
        </w:rPr>
      </w:pPr>
      <w:r w:rsidRPr="00515DBE">
        <w:rPr>
          <w:rFonts w:asciiTheme="majorHAnsi" w:hAnsiTheme="majorHAnsi" w:cstheme="majorHAnsi"/>
        </w:rPr>
        <w:t>Il tipo di accesso;</w:t>
      </w:r>
    </w:p>
    <w:p w14:paraId="770E2E7B" w14:textId="243741D8" w:rsidR="00FB4D89" w:rsidRPr="00515DBE" w:rsidRDefault="00383220" w:rsidP="00383220">
      <w:pPr>
        <w:pStyle w:val="Paragrafoelenco"/>
        <w:numPr>
          <w:ilvl w:val="0"/>
          <w:numId w:val="11"/>
        </w:numPr>
        <w:spacing w:after="0" w:line="240" w:lineRule="auto"/>
        <w:jc w:val="both"/>
        <w:rPr>
          <w:rFonts w:asciiTheme="majorHAnsi" w:hAnsiTheme="majorHAnsi" w:cstheme="majorHAnsi"/>
        </w:rPr>
      </w:pPr>
      <w:r w:rsidRPr="00515DBE">
        <w:rPr>
          <w:rFonts w:asciiTheme="majorHAnsi" w:hAnsiTheme="majorHAnsi" w:cstheme="majorHAnsi"/>
        </w:rPr>
        <w:t>Indicare i dati, le informazioni o i documenti da richiedere, senza obbligo di motivazione.</w:t>
      </w:r>
    </w:p>
    <w:p w14:paraId="76E5B529" w14:textId="0E7FBED5" w:rsidR="00A40D94" w:rsidRPr="00515DBE" w:rsidRDefault="00A40D94" w:rsidP="00A40D94">
      <w:pPr>
        <w:spacing w:after="0" w:line="240" w:lineRule="auto"/>
        <w:jc w:val="both"/>
        <w:rPr>
          <w:rFonts w:asciiTheme="majorHAnsi" w:hAnsiTheme="majorHAnsi" w:cstheme="majorHAnsi"/>
        </w:rPr>
      </w:pPr>
      <w:r w:rsidRPr="00515DBE">
        <w:rPr>
          <w:rFonts w:asciiTheme="majorHAnsi" w:hAnsiTheme="majorHAnsi" w:cstheme="majorHAnsi"/>
        </w:rPr>
        <w:t>Il rilascio di dati o documenti in formato elettronico o cartaceo è gratuito, salvo il rimborso del costo effettivamente sostenuto e documentato</w:t>
      </w:r>
      <w:r w:rsidR="00324610" w:rsidRPr="00515DBE">
        <w:rPr>
          <w:rFonts w:asciiTheme="majorHAnsi" w:hAnsiTheme="majorHAnsi" w:cstheme="majorHAnsi"/>
        </w:rPr>
        <w:t xml:space="preserve"> dalla Cooperativa per la riproduzione dei supporti materiali ai sensi dell’art.5, comma 4 del D.Lgs. 33/2013.</w:t>
      </w:r>
    </w:p>
    <w:p w14:paraId="2E34142C" w14:textId="77777777" w:rsidR="00383220" w:rsidRPr="00FB4D89" w:rsidRDefault="00383220" w:rsidP="00383220">
      <w:pPr>
        <w:pStyle w:val="Paragrafoelenco"/>
        <w:spacing w:after="0" w:line="240" w:lineRule="auto"/>
        <w:jc w:val="both"/>
        <w:rPr>
          <w:rFonts w:asciiTheme="majorHAnsi" w:hAnsiTheme="majorHAnsi" w:cstheme="majorHAnsi"/>
        </w:rPr>
      </w:pPr>
    </w:p>
    <w:p w14:paraId="44E2B29F" w14:textId="2D95BD09" w:rsidR="00A6756A" w:rsidRPr="00120C37" w:rsidRDefault="00EA3AED">
      <w:pPr>
        <w:pStyle w:val="Titolo1"/>
        <w:rPr>
          <w:rFonts w:asciiTheme="majorHAnsi" w:hAnsiTheme="majorHAnsi" w:cstheme="majorHAnsi"/>
          <w:color w:val="31849B" w:themeColor="accent5" w:themeShade="BF"/>
          <w:sz w:val="22"/>
          <w:szCs w:val="22"/>
        </w:rPr>
      </w:pPr>
      <w:bookmarkStart w:id="6" w:name="_tyjcwt" w:colFirst="0" w:colLast="0"/>
      <w:bookmarkStart w:id="7" w:name="_3dy6vkm" w:colFirst="0" w:colLast="0"/>
      <w:bookmarkStart w:id="8" w:name="_1t3h5sf" w:colFirst="0" w:colLast="0"/>
      <w:bookmarkEnd w:id="6"/>
      <w:bookmarkEnd w:id="7"/>
      <w:bookmarkEnd w:id="8"/>
      <w:r w:rsidRPr="00120C37">
        <w:rPr>
          <w:rFonts w:asciiTheme="majorHAnsi" w:hAnsiTheme="majorHAnsi" w:cstheme="majorHAnsi"/>
          <w:color w:val="31849B" w:themeColor="accent5" w:themeShade="BF"/>
          <w:sz w:val="22"/>
          <w:szCs w:val="22"/>
        </w:rPr>
        <w:lastRenderedPageBreak/>
        <w:t xml:space="preserve">Art. </w:t>
      </w:r>
      <w:r w:rsidR="00C350AB" w:rsidRPr="00120C37">
        <w:rPr>
          <w:rFonts w:asciiTheme="majorHAnsi" w:hAnsiTheme="majorHAnsi" w:cstheme="majorHAnsi"/>
          <w:color w:val="31849B" w:themeColor="accent5" w:themeShade="BF"/>
          <w:sz w:val="22"/>
          <w:szCs w:val="22"/>
        </w:rPr>
        <w:t>4</w:t>
      </w:r>
      <w:r w:rsidRPr="00120C37">
        <w:rPr>
          <w:rFonts w:asciiTheme="majorHAnsi" w:hAnsiTheme="majorHAnsi" w:cstheme="majorHAnsi"/>
          <w:color w:val="31849B" w:themeColor="accent5" w:themeShade="BF"/>
          <w:sz w:val="22"/>
          <w:szCs w:val="22"/>
        </w:rPr>
        <w:t xml:space="preserve"> – Soggetti controinteressati</w:t>
      </w:r>
    </w:p>
    <w:p w14:paraId="47EB5ABF" w14:textId="408D890E" w:rsidR="00A6756A" w:rsidRPr="00515DBE" w:rsidRDefault="00EA3AED">
      <w:pPr>
        <w:spacing w:after="0" w:line="240" w:lineRule="auto"/>
        <w:jc w:val="both"/>
        <w:rPr>
          <w:rFonts w:asciiTheme="majorHAnsi" w:eastAsia="Roboto" w:hAnsiTheme="majorHAnsi" w:cstheme="majorHAnsi"/>
          <w:b/>
          <w:color w:val="222222"/>
        </w:rPr>
      </w:pPr>
      <w:r w:rsidRPr="00515DBE">
        <w:rPr>
          <w:rFonts w:asciiTheme="majorHAnsi" w:hAnsiTheme="majorHAnsi" w:cstheme="majorHAnsi"/>
        </w:rPr>
        <w:t>L’ufficio cui è indirizzata la richiesta di accesso, se individua soggetti</w:t>
      </w:r>
      <w:r w:rsidRPr="00515DBE">
        <w:rPr>
          <w:rFonts w:asciiTheme="majorHAnsi" w:eastAsia="Roboto" w:hAnsiTheme="majorHAnsi" w:cstheme="majorHAnsi"/>
          <w:b/>
          <w:color w:val="222222"/>
        </w:rPr>
        <w:t xml:space="preserve"> </w:t>
      </w:r>
      <w:r w:rsidRPr="00515DBE">
        <w:rPr>
          <w:rFonts w:asciiTheme="majorHAnsi" w:hAnsiTheme="majorHAnsi" w:cstheme="majorHAnsi"/>
        </w:rPr>
        <w:t>controinteressati è tenuto a dare comunicazione agli stessi, mediante invio di copia della</w:t>
      </w:r>
      <w:r w:rsidRPr="00515DBE">
        <w:rPr>
          <w:rFonts w:asciiTheme="majorHAnsi" w:eastAsia="Roboto" w:hAnsiTheme="majorHAnsi" w:cstheme="majorHAnsi"/>
          <w:b/>
          <w:color w:val="222222"/>
        </w:rPr>
        <w:t xml:space="preserve"> </w:t>
      </w:r>
      <w:r w:rsidRPr="00515DBE">
        <w:rPr>
          <w:rFonts w:asciiTheme="majorHAnsi" w:hAnsiTheme="majorHAnsi" w:cstheme="majorHAnsi"/>
        </w:rPr>
        <w:t>stessa, a mezzo di raccomandata con avviso di ricevimento o per via telematica per coloro</w:t>
      </w:r>
      <w:r w:rsidRPr="00515DBE">
        <w:rPr>
          <w:rFonts w:asciiTheme="majorHAnsi" w:eastAsia="Roboto" w:hAnsiTheme="majorHAnsi" w:cstheme="majorHAnsi"/>
          <w:b/>
          <w:color w:val="222222"/>
        </w:rPr>
        <w:t xml:space="preserve"> </w:t>
      </w:r>
      <w:r w:rsidRPr="00515DBE">
        <w:rPr>
          <w:rFonts w:asciiTheme="majorHAnsi" w:hAnsiTheme="majorHAnsi" w:cstheme="majorHAnsi"/>
        </w:rPr>
        <w:t>che abbiano acconsentito a tale forma di comunicazione.</w:t>
      </w:r>
    </w:p>
    <w:p w14:paraId="58D7B511"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Entro dieci giorni dalla ricezione della comunicazione, i controinteressati possono presentare una motivata opposizione, anche per via telematica, alla richiesta di accesso. Decorso tale termine, la Cooperativa provvede sulla richiesta di accesso, accertata la ricezione della comunicazione da parte dei controinteressati.</w:t>
      </w:r>
    </w:p>
    <w:p w14:paraId="664A3E3E"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La comunicazione ai soggetti controinteressati non è dovuta nel caso in cui l’istanza riguardi l’accesso civico c.d. “semplice”, cioè dati, documenti ed informazioni oggetto di pubblicazione obbligatoria.</w:t>
      </w:r>
    </w:p>
    <w:p w14:paraId="4942AE09" w14:textId="77777777" w:rsidR="00A6756A" w:rsidRPr="00515DBE" w:rsidRDefault="00A6756A">
      <w:pPr>
        <w:spacing w:after="0" w:line="240" w:lineRule="auto"/>
        <w:jc w:val="both"/>
        <w:rPr>
          <w:rFonts w:asciiTheme="majorHAnsi" w:hAnsiTheme="majorHAnsi" w:cstheme="majorHAnsi"/>
        </w:rPr>
      </w:pPr>
    </w:p>
    <w:p w14:paraId="1E1B5D1F" w14:textId="21251F6A" w:rsidR="00A6756A" w:rsidRPr="00120C37" w:rsidRDefault="00EA3AED">
      <w:pPr>
        <w:pStyle w:val="Titolo1"/>
        <w:rPr>
          <w:rFonts w:asciiTheme="majorHAnsi" w:hAnsiTheme="majorHAnsi" w:cstheme="majorHAnsi"/>
          <w:color w:val="31849B" w:themeColor="accent5" w:themeShade="BF"/>
          <w:sz w:val="22"/>
          <w:szCs w:val="22"/>
        </w:rPr>
      </w:pPr>
      <w:bookmarkStart w:id="9" w:name="_4d34og8" w:colFirst="0" w:colLast="0"/>
      <w:bookmarkEnd w:id="9"/>
      <w:r w:rsidRPr="00120C37">
        <w:rPr>
          <w:rFonts w:asciiTheme="majorHAnsi" w:hAnsiTheme="majorHAnsi" w:cstheme="majorHAnsi"/>
          <w:color w:val="31849B" w:themeColor="accent5" w:themeShade="BF"/>
          <w:sz w:val="22"/>
          <w:szCs w:val="22"/>
        </w:rPr>
        <w:t xml:space="preserve">Art. </w:t>
      </w:r>
      <w:r w:rsidR="00A40D94" w:rsidRPr="00120C37">
        <w:rPr>
          <w:rFonts w:asciiTheme="majorHAnsi" w:hAnsiTheme="majorHAnsi" w:cstheme="majorHAnsi"/>
          <w:color w:val="31849B" w:themeColor="accent5" w:themeShade="BF"/>
          <w:sz w:val="22"/>
          <w:szCs w:val="22"/>
        </w:rPr>
        <w:t>5</w:t>
      </w:r>
      <w:r w:rsidRPr="00120C37">
        <w:rPr>
          <w:rFonts w:asciiTheme="majorHAnsi" w:hAnsiTheme="majorHAnsi" w:cstheme="majorHAnsi"/>
          <w:color w:val="31849B" w:themeColor="accent5" w:themeShade="BF"/>
          <w:sz w:val="22"/>
          <w:szCs w:val="22"/>
        </w:rPr>
        <w:t xml:space="preserve"> – Termini del procedimento</w:t>
      </w:r>
    </w:p>
    <w:p w14:paraId="1AD03D8A"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Il procedimento di accesso civico deve concludersi con provvedimento espresso e motivato nel termine di 30 giorni (ai sensi dell’art. 5, comma 6, del D.Lgs. 33/2013) dalla presentazione dell’istanza con la comunicazione del relativo esito al richiedente e agli eventuali soggetti controinteressati. Tali termini sono sospesi nel caso di comunicazione dell’istanza ai controinteressati durante il tempo stabilito dalla norma per consentire agli stessi di presentare eventuale opposizione (10 giorni dalla ricezione della comunicazione).</w:t>
      </w:r>
    </w:p>
    <w:p w14:paraId="41D5915A"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In caso di accoglimento, l’ufficio competente provvede a trasmettere tempestivamente al richiedente i dati o i documenti richiesti, ovvero, nel caso in cui l’istanza riguardi l’accesso civico, a pubblicare sul sito i dati, le informazioni o i documenti richiesti e a comunicare al richiedente l’avvenuta pubblicazione dello stesso, indicandogli il relativo collegamento ipertestuale.</w:t>
      </w:r>
    </w:p>
    <w:p w14:paraId="393608B5"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 xml:space="preserve">Qualora vi sia stato l’accoglimento della richiesta di accesso generalizzato nonostante l’opposizione del controinteressato, la Cooperativa è tenuta a darne comunicazione a quest’ultimo. </w:t>
      </w:r>
    </w:p>
    <w:p w14:paraId="68F8C784"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I dati o i documenti richiesti possono essere trasmessi al richiedente non prima di 15 giorni dalla ricezione della stessa comunicazione da parte del controinteressato, ciò anche al fine di consentire a quest’ultimo di presentare eventualmente richiesta di riesame, oppure ricorso al giudice amministrativo.</w:t>
      </w:r>
    </w:p>
    <w:p w14:paraId="2B0B02E6"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Nel caso di richiesta di accesso generalizzato, la Cooperativa deve motivare l’eventuale rifiuto, differimento o la limitazione dell’accesso, con riferimento ai soli casi e limiti stabiliti dall’art. 5-bis del D.Lgs. 33/2013.</w:t>
      </w:r>
    </w:p>
    <w:p w14:paraId="607AF344" w14:textId="77777777" w:rsidR="00A6756A" w:rsidRPr="00515DBE" w:rsidRDefault="00A6756A">
      <w:pPr>
        <w:spacing w:after="0" w:line="240" w:lineRule="auto"/>
        <w:jc w:val="both"/>
        <w:rPr>
          <w:rFonts w:asciiTheme="majorHAnsi" w:hAnsiTheme="majorHAnsi" w:cstheme="majorHAnsi"/>
        </w:rPr>
      </w:pPr>
    </w:p>
    <w:p w14:paraId="1A6142D9" w14:textId="0CDBED06" w:rsidR="00A6756A" w:rsidRPr="00120C37" w:rsidRDefault="00EA3AED">
      <w:pPr>
        <w:pStyle w:val="Titolo1"/>
        <w:rPr>
          <w:rFonts w:asciiTheme="majorHAnsi" w:hAnsiTheme="majorHAnsi" w:cstheme="majorHAnsi"/>
          <w:color w:val="31849B" w:themeColor="accent5" w:themeShade="BF"/>
          <w:sz w:val="22"/>
          <w:szCs w:val="22"/>
        </w:rPr>
      </w:pPr>
      <w:bookmarkStart w:id="10" w:name="_2s8eyo1" w:colFirst="0" w:colLast="0"/>
      <w:bookmarkStart w:id="11" w:name="_17dp8vu" w:colFirst="0" w:colLast="0"/>
      <w:bookmarkStart w:id="12" w:name="_3rdcrjn" w:colFirst="0" w:colLast="0"/>
      <w:bookmarkEnd w:id="10"/>
      <w:bookmarkEnd w:id="11"/>
      <w:bookmarkEnd w:id="12"/>
      <w:r w:rsidRPr="00120C37">
        <w:rPr>
          <w:rFonts w:asciiTheme="majorHAnsi" w:hAnsiTheme="majorHAnsi" w:cstheme="majorHAnsi"/>
          <w:color w:val="31849B" w:themeColor="accent5" w:themeShade="BF"/>
          <w:sz w:val="22"/>
          <w:szCs w:val="22"/>
        </w:rPr>
        <w:t xml:space="preserve">Art. </w:t>
      </w:r>
      <w:r w:rsidR="005F5CD0" w:rsidRPr="00120C37">
        <w:rPr>
          <w:rFonts w:asciiTheme="majorHAnsi" w:hAnsiTheme="majorHAnsi" w:cstheme="majorHAnsi"/>
          <w:color w:val="31849B" w:themeColor="accent5" w:themeShade="BF"/>
          <w:sz w:val="22"/>
          <w:szCs w:val="22"/>
        </w:rPr>
        <w:t>6</w:t>
      </w:r>
      <w:r w:rsidRPr="00120C37">
        <w:rPr>
          <w:rFonts w:asciiTheme="majorHAnsi" w:hAnsiTheme="majorHAnsi" w:cstheme="majorHAnsi"/>
          <w:color w:val="31849B" w:themeColor="accent5" w:themeShade="BF"/>
          <w:sz w:val="22"/>
          <w:szCs w:val="22"/>
        </w:rPr>
        <w:t xml:space="preserve"> – Richiesta di riesame</w:t>
      </w:r>
    </w:p>
    <w:p w14:paraId="204E336F" w14:textId="2DCB8E1B"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Il richiedente, nei casi di diniego totale o parziale dell’accesso generalizzato o di mancata risposta entro il termine previsto, ovvero i controinteressati, nei casi di accoglimento della richiesta di accesso, possono presentare richiesta di riesame al</w:t>
      </w:r>
      <w:r w:rsidR="005F5CD0" w:rsidRPr="00515DBE">
        <w:rPr>
          <w:rFonts w:asciiTheme="majorHAnsi" w:hAnsiTheme="majorHAnsi" w:cstheme="majorHAnsi"/>
        </w:rPr>
        <w:t xml:space="preserve"> Responsabile</w:t>
      </w:r>
      <w:r w:rsidRPr="00515DBE">
        <w:rPr>
          <w:rFonts w:asciiTheme="majorHAnsi" w:hAnsiTheme="majorHAnsi" w:cstheme="majorHAnsi"/>
        </w:rPr>
        <w:t xml:space="preserve"> indicato, che decide con provvedimento motivato, entro il termine di 20 giorni.</w:t>
      </w:r>
    </w:p>
    <w:p w14:paraId="7317F06E"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Se l’accesso generalizzato è stato negato, o differito a tutela della protezione dei dati personali in conformità con la disciplina legislativa in materia, viene consultato Garante per la protezione dei dati personali, il quale si pronuncia entro il termine di 10 giorni dalla richiesta.</w:t>
      </w:r>
    </w:p>
    <w:p w14:paraId="786F9442" w14:textId="77777777"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A decorrere dalla comunicazione al Garante, il termine per l’adozione del provvedimento è sospeso, fino alla ricezione del parere del Garante, che si pronuncia entro 10 giorni dalla richiesta.</w:t>
      </w:r>
    </w:p>
    <w:p w14:paraId="64991558" w14:textId="77777777" w:rsidR="00515DBE" w:rsidRPr="00515DBE" w:rsidRDefault="00515DBE" w:rsidP="00515DBE">
      <w:pPr>
        <w:spacing w:after="0" w:line="240" w:lineRule="auto"/>
        <w:jc w:val="both"/>
        <w:rPr>
          <w:rFonts w:asciiTheme="majorHAnsi" w:hAnsiTheme="majorHAnsi" w:cstheme="majorHAnsi"/>
        </w:rPr>
      </w:pPr>
      <w:r w:rsidRPr="00515DBE">
        <w:rPr>
          <w:rFonts w:asciiTheme="majorHAnsi" w:hAnsiTheme="majorHAnsi" w:cstheme="majorHAnsi"/>
        </w:rPr>
        <w:t xml:space="preserve">Avverso la decisione dell’ufficio competente o, in caso di richiesta di riesame, avverso la decisione del soggetto espressamente indicato, il richiedente l’accesso generalizzato può proporre ricorso al Tribunale Amministrativo Regionale ai sensi dell’art. 116 del Codice del processo amministrativo di cui al D.Lgs.  104/2010. </w:t>
      </w:r>
    </w:p>
    <w:p w14:paraId="6B97A22F" w14:textId="77777777" w:rsidR="00A6756A" w:rsidRPr="00515DBE" w:rsidRDefault="00A6756A">
      <w:pPr>
        <w:spacing w:after="0" w:line="240" w:lineRule="auto"/>
        <w:jc w:val="both"/>
        <w:rPr>
          <w:rFonts w:asciiTheme="majorHAnsi" w:eastAsia="Roboto" w:hAnsiTheme="majorHAnsi" w:cstheme="majorHAnsi"/>
          <w:color w:val="222222"/>
        </w:rPr>
      </w:pPr>
    </w:p>
    <w:p w14:paraId="3DDC2464" w14:textId="2C16BC8F" w:rsidR="00A6756A" w:rsidRPr="00120C37" w:rsidRDefault="00EA3AED">
      <w:pPr>
        <w:pStyle w:val="Titolo1"/>
        <w:rPr>
          <w:rFonts w:asciiTheme="majorHAnsi" w:hAnsiTheme="majorHAnsi" w:cstheme="majorHAnsi"/>
          <w:color w:val="31849B" w:themeColor="accent5" w:themeShade="BF"/>
          <w:sz w:val="22"/>
          <w:szCs w:val="22"/>
        </w:rPr>
      </w:pPr>
      <w:bookmarkStart w:id="13" w:name="_26in1rg" w:colFirst="0" w:colLast="0"/>
      <w:bookmarkStart w:id="14" w:name="_lnxbz9" w:colFirst="0" w:colLast="0"/>
      <w:bookmarkStart w:id="15" w:name="_1ksv4uv" w:colFirst="0" w:colLast="0"/>
      <w:bookmarkEnd w:id="13"/>
      <w:bookmarkEnd w:id="14"/>
      <w:bookmarkEnd w:id="15"/>
      <w:r w:rsidRPr="00120C37">
        <w:rPr>
          <w:rFonts w:asciiTheme="majorHAnsi" w:hAnsiTheme="majorHAnsi" w:cstheme="majorHAnsi"/>
          <w:color w:val="31849B" w:themeColor="accent5" w:themeShade="BF"/>
          <w:sz w:val="22"/>
          <w:szCs w:val="22"/>
        </w:rPr>
        <w:t xml:space="preserve">Art. </w:t>
      </w:r>
      <w:r w:rsidR="005F5CD0" w:rsidRPr="00120C37">
        <w:rPr>
          <w:rFonts w:asciiTheme="majorHAnsi" w:hAnsiTheme="majorHAnsi" w:cstheme="majorHAnsi"/>
          <w:color w:val="31849B" w:themeColor="accent5" w:themeShade="BF"/>
          <w:sz w:val="22"/>
          <w:szCs w:val="22"/>
        </w:rPr>
        <w:t>7</w:t>
      </w:r>
      <w:r w:rsidRPr="00120C37">
        <w:rPr>
          <w:rFonts w:asciiTheme="majorHAnsi" w:hAnsiTheme="majorHAnsi" w:cstheme="majorHAnsi"/>
          <w:color w:val="31849B" w:themeColor="accent5" w:themeShade="BF"/>
          <w:sz w:val="22"/>
          <w:szCs w:val="22"/>
        </w:rPr>
        <w:t xml:space="preserve"> – Registrazione richieste</w:t>
      </w:r>
    </w:p>
    <w:p w14:paraId="416CF69B" w14:textId="167F0BBE" w:rsidR="00A6756A" w:rsidRPr="00515DBE" w:rsidRDefault="00EA3AED">
      <w:pPr>
        <w:spacing w:after="0" w:line="240" w:lineRule="auto"/>
        <w:jc w:val="both"/>
        <w:rPr>
          <w:rFonts w:asciiTheme="majorHAnsi" w:hAnsiTheme="majorHAnsi" w:cstheme="majorHAnsi"/>
        </w:rPr>
      </w:pPr>
      <w:r w:rsidRPr="00515DBE">
        <w:rPr>
          <w:rFonts w:asciiTheme="majorHAnsi" w:hAnsiTheme="majorHAnsi" w:cstheme="majorHAnsi"/>
        </w:rPr>
        <w:t>La Cooperativa cura la registrazione delle richieste pervenute ai sensi del presente Regolamento</w:t>
      </w:r>
      <w:r w:rsidR="005F5CD0" w:rsidRPr="00515DBE">
        <w:rPr>
          <w:rFonts w:asciiTheme="majorHAnsi" w:hAnsiTheme="majorHAnsi" w:cstheme="majorHAnsi"/>
        </w:rPr>
        <w:t xml:space="preserve"> in apposit</w:t>
      </w:r>
      <w:r w:rsidR="00120C37">
        <w:rPr>
          <w:rFonts w:asciiTheme="majorHAnsi" w:hAnsiTheme="majorHAnsi" w:cstheme="majorHAnsi"/>
        </w:rPr>
        <w:t>i</w:t>
      </w:r>
      <w:r w:rsidR="005F5CD0" w:rsidRPr="00515DBE">
        <w:rPr>
          <w:rFonts w:asciiTheme="majorHAnsi" w:hAnsiTheme="majorHAnsi" w:cstheme="majorHAnsi"/>
        </w:rPr>
        <w:t xml:space="preserve"> Registr</w:t>
      </w:r>
      <w:r w:rsidR="00120C37">
        <w:rPr>
          <w:rFonts w:asciiTheme="majorHAnsi" w:hAnsiTheme="majorHAnsi" w:cstheme="majorHAnsi"/>
        </w:rPr>
        <w:t>i</w:t>
      </w:r>
      <w:r w:rsidR="005F5CD0" w:rsidRPr="00515DBE">
        <w:rPr>
          <w:rFonts w:asciiTheme="majorHAnsi" w:hAnsiTheme="majorHAnsi" w:cstheme="majorHAnsi"/>
        </w:rPr>
        <w:t xml:space="preserve"> degli Accessi.</w:t>
      </w:r>
    </w:p>
    <w:p w14:paraId="0C3D6FD4" w14:textId="77777777" w:rsidR="00A6756A" w:rsidRPr="00515DBE" w:rsidRDefault="00A6756A">
      <w:pPr>
        <w:spacing w:after="0" w:line="240" w:lineRule="auto"/>
        <w:jc w:val="both"/>
        <w:rPr>
          <w:rFonts w:asciiTheme="majorHAnsi" w:hAnsiTheme="majorHAnsi" w:cstheme="majorHAnsi"/>
        </w:rPr>
      </w:pPr>
    </w:p>
    <w:p w14:paraId="2BF7D17D" w14:textId="77777777" w:rsidR="00A6756A" w:rsidRPr="00515DBE" w:rsidRDefault="00A6756A">
      <w:pPr>
        <w:spacing w:after="0" w:line="240" w:lineRule="auto"/>
        <w:jc w:val="both"/>
        <w:rPr>
          <w:rFonts w:asciiTheme="majorHAnsi" w:eastAsia="Roboto" w:hAnsiTheme="majorHAnsi" w:cstheme="majorHAnsi"/>
          <w:color w:val="222222"/>
        </w:rPr>
      </w:pPr>
    </w:p>
    <w:p w14:paraId="5D2C6819" w14:textId="77777777" w:rsidR="00A6756A" w:rsidRPr="00515DBE" w:rsidRDefault="00A6756A">
      <w:pPr>
        <w:jc w:val="both"/>
        <w:rPr>
          <w:rFonts w:asciiTheme="majorHAnsi" w:hAnsiTheme="majorHAnsi" w:cstheme="majorHAnsi"/>
        </w:rPr>
      </w:pPr>
    </w:p>
    <w:sectPr w:rsidR="00A6756A" w:rsidRPr="00515DBE">
      <w:footerReference w:type="default" r:id="rId9"/>
      <w:pgSz w:w="11906" w:h="16838"/>
      <w:pgMar w:top="1417"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5315" w14:textId="77777777" w:rsidR="0013265A" w:rsidRDefault="0013265A">
      <w:pPr>
        <w:spacing w:after="0" w:line="240" w:lineRule="auto"/>
      </w:pPr>
      <w:r>
        <w:separator/>
      </w:r>
    </w:p>
  </w:endnote>
  <w:endnote w:type="continuationSeparator" w:id="0">
    <w:p w14:paraId="21592C3A" w14:textId="77777777" w:rsidR="0013265A" w:rsidRDefault="0013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0F53" w14:textId="77777777" w:rsidR="00A6756A" w:rsidRDefault="00EA3AE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03F85">
      <w:rPr>
        <w:noProof/>
        <w:color w:val="000000"/>
      </w:rPr>
      <w:t>1</w:t>
    </w:r>
    <w:r>
      <w:rPr>
        <w:color w:val="000000"/>
      </w:rPr>
      <w:fldChar w:fldCharType="end"/>
    </w:r>
  </w:p>
  <w:p w14:paraId="00DD8ED7" w14:textId="77777777" w:rsidR="00A6756A" w:rsidRDefault="00A6756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FBAA" w14:textId="77777777" w:rsidR="0013265A" w:rsidRDefault="0013265A">
      <w:pPr>
        <w:spacing w:after="0" w:line="240" w:lineRule="auto"/>
      </w:pPr>
      <w:r>
        <w:separator/>
      </w:r>
    </w:p>
  </w:footnote>
  <w:footnote w:type="continuationSeparator" w:id="0">
    <w:p w14:paraId="074EB90E" w14:textId="77777777" w:rsidR="0013265A" w:rsidRDefault="00132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25E"/>
    <w:multiLevelType w:val="hybridMultilevel"/>
    <w:tmpl w:val="98B4A330"/>
    <w:lvl w:ilvl="0" w:tplc="1C1A6C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BF5524"/>
    <w:multiLevelType w:val="hybridMultilevel"/>
    <w:tmpl w:val="77BE43F2"/>
    <w:lvl w:ilvl="0" w:tplc="04100009">
      <w:start w:val="1"/>
      <w:numFmt w:val="bullet"/>
      <w:lvlText w:val=""/>
      <w:lvlJc w:val="left"/>
      <w:pPr>
        <w:ind w:left="1335" w:hanging="360"/>
      </w:pPr>
      <w:rPr>
        <w:rFonts w:ascii="Wingdings" w:hAnsi="Wingdings"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2" w15:restartNumberingAfterBreak="0">
    <w:nsid w:val="3460046A"/>
    <w:multiLevelType w:val="hybridMultilevel"/>
    <w:tmpl w:val="102A8DB8"/>
    <w:lvl w:ilvl="0" w:tplc="239C74D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7056D82"/>
    <w:multiLevelType w:val="multilevel"/>
    <w:tmpl w:val="AE242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FB2269"/>
    <w:multiLevelType w:val="multilevel"/>
    <w:tmpl w:val="AE78D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313749"/>
    <w:multiLevelType w:val="hybridMultilevel"/>
    <w:tmpl w:val="78108A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7F1E2D"/>
    <w:multiLevelType w:val="multilevel"/>
    <w:tmpl w:val="B45A6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743232"/>
    <w:multiLevelType w:val="multilevel"/>
    <w:tmpl w:val="64EAE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24354F"/>
    <w:multiLevelType w:val="hybridMultilevel"/>
    <w:tmpl w:val="BECC3F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37436E"/>
    <w:multiLevelType w:val="multilevel"/>
    <w:tmpl w:val="13D64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B36FB2"/>
    <w:multiLevelType w:val="multilevel"/>
    <w:tmpl w:val="951868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5F3C07"/>
    <w:multiLevelType w:val="multilevel"/>
    <w:tmpl w:val="0B92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3229594">
    <w:abstractNumId w:val="9"/>
  </w:num>
  <w:num w:numId="2" w16cid:durableId="1636831108">
    <w:abstractNumId w:val="7"/>
  </w:num>
  <w:num w:numId="3" w16cid:durableId="241186864">
    <w:abstractNumId w:val="11"/>
  </w:num>
  <w:num w:numId="4" w16cid:durableId="669256742">
    <w:abstractNumId w:val="3"/>
  </w:num>
  <w:num w:numId="5" w16cid:durableId="835076665">
    <w:abstractNumId w:val="4"/>
  </w:num>
  <w:num w:numId="6" w16cid:durableId="1914311817">
    <w:abstractNumId w:val="6"/>
  </w:num>
  <w:num w:numId="7" w16cid:durableId="1495024632">
    <w:abstractNumId w:val="2"/>
  </w:num>
  <w:num w:numId="8" w16cid:durableId="231813323">
    <w:abstractNumId w:val="1"/>
  </w:num>
  <w:num w:numId="9" w16cid:durableId="356851368">
    <w:abstractNumId w:val="8"/>
  </w:num>
  <w:num w:numId="10" w16cid:durableId="1320041562">
    <w:abstractNumId w:val="10"/>
  </w:num>
  <w:num w:numId="11" w16cid:durableId="713120226">
    <w:abstractNumId w:val="0"/>
  </w:num>
  <w:num w:numId="12" w16cid:durableId="29918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6A"/>
    <w:rsid w:val="000F2458"/>
    <w:rsid w:val="00120C37"/>
    <w:rsid w:val="0013265A"/>
    <w:rsid w:val="00324610"/>
    <w:rsid w:val="00383220"/>
    <w:rsid w:val="004F66F8"/>
    <w:rsid w:val="00515DBE"/>
    <w:rsid w:val="00536700"/>
    <w:rsid w:val="005F5CD0"/>
    <w:rsid w:val="006B1CD8"/>
    <w:rsid w:val="00A15462"/>
    <w:rsid w:val="00A40D94"/>
    <w:rsid w:val="00A6756A"/>
    <w:rsid w:val="00AB413A"/>
    <w:rsid w:val="00B3646B"/>
    <w:rsid w:val="00BD3516"/>
    <w:rsid w:val="00C350AB"/>
    <w:rsid w:val="00C73275"/>
    <w:rsid w:val="00DC2575"/>
    <w:rsid w:val="00E03F85"/>
    <w:rsid w:val="00EA3AED"/>
    <w:rsid w:val="00FB4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CFB"/>
  <w15:docId w15:val="{640BDB5A-B18D-4731-8285-F56E2ADC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after="0"/>
      <w:outlineLvl w:val="0"/>
    </w:pPr>
    <w:rPr>
      <w:color w:val="2F5496"/>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Paragrafoelenco">
    <w:name w:val="List Paragraph"/>
    <w:basedOn w:val="Normale"/>
    <w:uiPriority w:val="34"/>
    <w:qFormat/>
    <w:rsid w:val="00AB413A"/>
    <w:pPr>
      <w:ind w:left="720"/>
      <w:contextualSpacing/>
    </w:pPr>
  </w:style>
  <w:style w:type="character" w:styleId="Collegamentoipertestuale">
    <w:name w:val="Hyperlink"/>
    <w:basedOn w:val="Carpredefinitoparagrafo"/>
    <w:uiPriority w:val="99"/>
    <w:unhideWhenUsed/>
    <w:rsid w:val="00A15462"/>
    <w:rPr>
      <w:color w:val="0000FF" w:themeColor="hyperlink"/>
      <w:u w:val="single"/>
    </w:rPr>
  </w:style>
  <w:style w:type="character" w:styleId="Menzionenonrisolta">
    <w:name w:val="Unresolved Mention"/>
    <w:basedOn w:val="Carpredefinitoparagrafo"/>
    <w:uiPriority w:val="99"/>
    <w:semiHidden/>
    <w:unhideWhenUsed/>
    <w:rsid w:val="00A1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uss.s.coopsoc@legalmail.it" TargetMode="External"/><Relationship Id="rId3" Type="http://schemas.openxmlformats.org/officeDocument/2006/relationships/settings" Target="settings.xml"/><Relationship Id="rId7" Type="http://schemas.openxmlformats.org/officeDocument/2006/relationships/hyperlink" Target="mailto:direzione@domusservizisanit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983</Words>
  <Characters>5608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2022-06-09T06:32:00Z</dcterms:created>
  <dcterms:modified xsi:type="dcterms:W3CDTF">2022-06-09T08:36:00Z</dcterms:modified>
</cp:coreProperties>
</file>